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BD07E2">
        <w:rPr>
          <w:rFonts w:ascii="Times New Roman" w:hAnsi="Times New Roman" w:cs="Times New Roman"/>
        </w:rPr>
        <w:t xml:space="preserve">по состоянию на </w:t>
      </w:r>
      <w:r w:rsidR="00C04AD1">
        <w:rPr>
          <w:rFonts w:ascii="Times New Roman" w:hAnsi="Times New Roman" w:cs="Times New Roman"/>
        </w:rPr>
        <w:t>31</w:t>
      </w:r>
      <w:r w:rsidR="00BD07E2" w:rsidRPr="00394780">
        <w:rPr>
          <w:rFonts w:ascii="Times New Roman" w:hAnsi="Times New Roman" w:cs="Times New Roman"/>
        </w:rPr>
        <w:t>.</w:t>
      </w:r>
      <w:r w:rsidR="00E21AD6">
        <w:rPr>
          <w:rFonts w:ascii="Times New Roman" w:hAnsi="Times New Roman" w:cs="Times New Roman"/>
        </w:rPr>
        <w:t>0</w:t>
      </w:r>
      <w:r w:rsidR="00C04AD1">
        <w:rPr>
          <w:rFonts w:ascii="Times New Roman" w:hAnsi="Times New Roman" w:cs="Times New Roman"/>
        </w:rPr>
        <w:t>7</w:t>
      </w:r>
      <w:r w:rsidR="00BD07E2" w:rsidRPr="00394780">
        <w:rPr>
          <w:rFonts w:ascii="Times New Roman" w:hAnsi="Times New Roman" w:cs="Times New Roman"/>
        </w:rPr>
        <w:t>.202</w:t>
      </w:r>
      <w:r w:rsidR="00E21AD6">
        <w:rPr>
          <w:rFonts w:ascii="Times New Roman" w:hAnsi="Times New Roman" w:cs="Times New Roman"/>
        </w:rPr>
        <w:t>4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D052DF" w:rsidP="00B632AD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052DF">
        <w:rPr>
          <w:rFonts w:ascii="Times New Roman" w:hAnsi="Times New Roman" w:cs="Times New Roman"/>
        </w:rPr>
        <w:t>Вы можете погасить инвестиционные паи паевого инвестиционного фонда и требовать выплаты в связи с этим денежной компенсации, соразмерной приходящейся на н</w:t>
      </w:r>
      <w:r>
        <w:rPr>
          <w:rFonts w:ascii="Times New Roman" w:hAnsi="Times New Roman" w:cs="Times New Roman"/>
        </w:rPr>
        <w:t>их</w:t>
      </w:r>
      <w:r w:rsidRPr="00D052DF">
        <w:rPr>
          <w:rFonts w:ascii="Times New Roman" w:hAnsi="Times New Roman" w:cs="Times New Roman"/>
        </w:rPr>
        <w:t xml:space="preserve"> </w:t>
      </w:r>
      <w:r w:rsidR="00C76F2E" w:rsidRPr="00C76F2E">
        <w:rPr>
          <w:rFonts w:ascii="Times New Roman" w:hAnsi="Times New Roman" w:cs="Times New Roman"/>
        </w:rPr>
        <w:t xml:space="preserve">доле в праве общей собственности на имущество, составляющее </w:t>
      </w:r>
      <w:r w:rsidR="005654E7">
        <w:rPr>
          <w:rFonts w:ascii="Times New Roman" w:hAnsi="Times New Roman" w:cs="Times New Roman"/>
        </w:rPr>
        <w:t>ф</w:t>
      </w:r>
      <w:r w:rsidR="00C76F2E" w:rsidRPr="00C76F2E">
        <w:rPr>
          <w:rFonts w:ascii="Times New Roman" w:hAnsi="Times New Roman" w:cs="Times New Roman"/>
        </w:rPr>
        <w:t>онд</w:t>
      </w:r>
      <w:r w:rsidRPr="00D052DF">
        <w:rPr>
          <w:rFonts w:ascii="Times New Roman" w:hAnsi="Times New Roman" w:cs="Times New Roman"/>
        </w:rPr>
        <w:t>, в случаях, предусмотренных Федеральным законом «Об инвестиционных фондах» от 29.11.2001 N 156-ФЗ</w:t>
      </w:r>
      <w:r>
        <w:rPr>
          <w:rFonts w:ascii="Times New Roman" w:hAnsi="Times New Roman" w:cs="Times New Roman"/>
        </w:rPr>
        <w:t xml:space="preserve"> </w:t>
      </w:r>
      <w:r w:rsidRPr="00D052DF">
        <w:rPr>
          <w:rFonts w:ascii="Times New Roman" w:hAnsi="Times New Roman" w:cs="Times New Roman"/>
        </w:rPr>
        <w:t>и правилами доверительного управ</w:t>
      </w:r>
      <w:r w:rsidR="005654E7">
        <w:rPr>
          <w:rFonts w:ascii="Times New Roman" w:hAnsi="Times New Roman" w:cs="Times New Roman"/>
        </w:rPr>
        <w:t>ления ф</w:t>
      </w:r>
      <w:r w:rsidRPr="00D052DF">
        <w:rPr>
          <w:rFonts w:ascii="Times New Roman" w:hAnsi="Times New Roman" w:cs="Times New Roman"/>
        </w:rPr>
        <w:t>ондом</w:t>
      </w:r>
      <w:r w:rsidR="00B053A3" w:rsidRPr="00DC6881">
        <w:rPr>
          <w:rFonts w:ascii="Times New Roman" w:hAnsi="Times New Roman" w:cs="Times New Roman"/>
        </w:rPr>
        <w:t>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7C5A11" w:rsidRDefault="00C9036F" w:rsidP="007C5A11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Pr="00FF4A37" w:rsidRDefault="00F940CD" w:rsidP="00FF4A37">
      <w:pPr>
        <w:pStyle w:val="a5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FF4A37">
        <w:rPr>
          <w:rFonts w:ascii="Times New Roman" w:hAnsi="Times New Roman" w:cs="Times New Roman"/>
        </w:rPr>
        <w:t>Активы паевого инвестиц</w:t>
      </w:r>
      <w:r w:rsidR="0083427C" w:rsidRPr="00FF4A37">
        <w:rPr>
          <w:rFonts w:ascii="Times New Roman" w:hAnsi="Times New Roman" w:cs="Times New Roman"/>
        </w:rPr>
        <w:t>ио</w:t>
      </w:r>
      <w:r w:rsidR="00832DA0" w:rsidRPr="00FF4A37">
        <w:rPr>
          <w:rFonts w:ascii="Times New Roman" w:hAnsi="Times New Roman" w:cs="Times New Roman"/>
        </w:rPr>
        <w:t xml:space="preserve">нного фонда инвестированы в </w:t>
      </w:r>
      <w:r w:rsidR="00A52F9A" w:rsidRPr="00FF4A37">
        <w:rPr>
          <w:rFonts w:ascii="Times New Roman" w:hAnsi="Times New Roman" w:cs="Times New Roman"/>
        </w:rPr>
        <w:t>10</w:t>
      </w:r>
      <w:r w:rsidR="00BD40BD">
        <w:rPr>
          <w:rFonts w:ascii="Times New Roman" w:hAnsi="Times New Roman" w:cs="Times New Roman"/>
        </w:rPr>
        <w:t>6</w:t>
      </w:r>
      <w:r w:rsidR="002F5DBE">
        <w:rPr>
          <w:rFonts w:ascii="Times New Roman" w:hAnsi="Times New Roman" w:cs="Times New Roman"/>
        </w:rPr>
        <w:t>1</w:t>
      </w:r>
      <w:r w:rsidR="00A52F9A" w:rsidRPr="00FF4A37">
        <w:rPr>
          <w:rFonts w:ascii="Times New Roman" w:hAnsi="Times New Roman" w:cs="Times New Roman"/>
        </w:rPr>
        <w:t xml:space="preserve"> </w:t>
      </w:r>
      <w:r w:rsidR="007C5A11" w:rsidRPr="00FF4A37">
        <w:rPr>
          <w:rFonts w:ascii="Times New Roman" w:hAnsi="Times New Roman" w:cs="Times New Roman"/>
        </w:rPr>
        <w:t>позиции</w:t>
      </w:r>
      <w:r w:rsidR="00821E81" w:rsidRPr="00FF4A37">
        <w:rPr>
          <w:rFonts w:ascii="Times New Roman" w:hAnsi="Times New Roman" w:cs="Times New Roman"/>
        </w:rPr>
        <w:t>.</w:t>
      </w:r>
    </w:p>
    <w:p w:rsidR="00B606BD" w:rsidRPr="00FF4A37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FF4A37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536"/>
        <w:gridCol w:w="3969"/>
      </w:tblGrid>
      <w:tr w:rsidR="00B606BD" w:rsidRPr="00DC6881" w:rsidTr="00A64F9C">
        <w:trPr>
          <w:trHeight w:val="712"/>
        </w:trPr>
        <w:tc>
          <w:tcPr>
            <w:tcW w:w="127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F54BD3" w:rsidRPr="00DC6881" w:rsidTr="00A64F9C">
        <w:trPr>
          <w:trHeight w:val="327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54BD3" w:rsidRPr="00DC6881" w:rsidRDefault="002F5DBE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F54BD3" w:rsidRPr="00394780" w:rsidRDefault="0000670D" w:rsidP="002F5DBE">
            <w:pPr>
              <w:jc w:val="center"/>
            </w:pPr>
            <w:r w:rsidRPr="00394780">
              <w:t>2.</w:t>
            </w:r>
            <w:r w:rsidR="002F5DBE">
              <w:t>72</w:t>
            </w:r>
          </w:p>
        </w:tc>
      </w:tr>
      <w:tr w:rsidR="00BD40BD" w:rsidRPr="00DC6881" w:rsidTr="00A64F9C">
        <w:trPr>
          <w:trHeight w:val="349"/>
        </w:trPr>
        <w:tc>
          <w:tcPr>
            <w:tcW w:w="1276" w:type="dxa"/>
            <w:shd w:val="clear" w:color="auto" w:fill="auto"/>
            <w:noWrap/>
            <w:vAlign w:val="center"/>
          </w:tcPr>
          <w:p w:rsidR="00BD40BD" w:rsidRPr="00DC6881" w:rsidRDefault="002F5DBE" w:rsidP="00BD4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D40BD" w:rsidRPr="00DC6881" w:rsidRDefault="00BD40BD" w:rsidP="00BD40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3969" w:type="dxa"/>
            <w:shd w:val="clear" w:color="auto" w:fill="auto"/>
            <w:noWrap/>
          </w:tcPr>
          <w:p w:rsidR="00BD40BD" w:rsidRPr="00394780" w:rsidRDefault="00BD40BD" w:rsidP="00BD40BD">
            <w:pPr>
              <w:jc w:val="center"/>
            </w:pPr>
            <w:r w:rsidRPr="00394780">
              <w:t>2.</w:t>
            </w:r>
            <w:r w:rsidR="002F5DBE">
              <w:t>62</w:t>
            </w:r>
          </w:p>
        </w:tc>
      </w:tr>
      <w:tr w:rsidR="002F5DBE" w:rsidRPr="00DC6881" w:rsidTr="00BD40BD">
        <w:trPr>
          <w:trHeight w:val="349"/>
        </w:trPr>
        <w:tc>
          <w:tcPr>
            <w:tcW w:w="1276" w:type="dxa"/>
            <w:shd w:val="clear" w:color="auto" w:fill="auto"/>
            <w:noWrap/>
            <w:vAlign w:val="center"/>
          </w:tcPr>
          <w:p w:rsidR="002F5DBE" w:rsidRDefault="002F5DBE" w:rsidP="00BD4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F5DBE" w:rsidRPr="00BD40BD" w:rsidRDefault="00C04AD1" w:rsidP="00C04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221E">
              <w:t>Земли сельскохозяйственного назначения (Сельскохозяйственное использование) Земельный участок к/н 58:12:0000000:65</w:t>
            </w:r>
            <w:r>
              <w:t xml:space="preserve"> </w:t>
            </w:r>
          </w:p>
        </w:tc>
        <w:tc>
          <w:tcPr>
            <w:tcW w:w="3969" w:type="dxa"/>
            <w:shd w:val="clear" w:color="auto" w:fill="auto"/>
            <w:noWrap/>
          </w:tcPr>
          <w:p w:rsidR="002F5DBE" w:rsidRDefault="00C04AD1" w:rsidP="00C04AD1">
            <w:pPr>
              <w:jc w:val="center"/>
            </w:pPr>
            <w:r>
              <w:t>1</w:t>
            </w:r>
            <w:r w:rsidR="002F5DBE">
              <w:t>,</w:t>
            </w:r>
            <w:r>
              <w:t>85</w:t>
            </w:r>
          </w:p>
        </w:tc>
      </w:tr>
      <w:tr w:rsidR="00BD40BD" w:rsidRPr="00DC6881" w:rsidTr="00BD40BD">
        <w:trPr>
          <w:trHeight w:val="349"/>
        </w:trPr>
        <w:tc>
          <w:tcPr>
            <w:tcW w:w="1276" w:type="dxa"/>
            <w:shd w:val="clear" w:color="auto" w:fill="auto"/>
            <w:noWrap/>
            <w:vAlign w:val="center"/>
          </w:tcPr>
          <w:p w:rsidR="00BD40BD" w:rsidRPr="00DC6881" w:rsidRDefault="00BD40BD" w:rsidP="00BD4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D40BD" w:rsidRPr="00DC6881" w:rsidRDefault="00C04AD1" w:rsidP="002F5D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4AD1">
              <w:rPr>
                <w:rFonts w:ascii="Times New Roman" w:hAnsi="Times New Roman" w:cs="Times New Roman"/>
              </w:rPr>
              <w:t>Депозит в кредитной организации "Газпромбанк" (Акционерное общество) (денежные средства)</w:t>
            </w:r>
          </w:p>
        </w:tc>
        <w:tc>
          <w:tcPr>
            <w:tcW w:w="3969" w:type="dxa"/>
            <w:shd w:val="clear" w:color="auto" w:fill="auto"/>
            <w:noWrap/>
          </w:tcPr>
          <w:p w:rsidR="00BD40BD" w:rsidRPr="00394780" w:rsidRDefault="00C04AD1" w:rsidP="00BD40BD">
            <w:pPr>
              <w:jc w:val="center"/>
            </w:pPr>
            <w:r>
              <w:t>1.73</w:t>
            </w:r>
          </w:p>
        </w:tc>
      </w:tr>
      <w:tr w:rsidR="00BD40BD" w:rsidRPr="00DC6881" w:rsidTr="00A64F9C">
        <w:trPr>
          <w:trHeight w:val="336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D40BD" w:rsidRPr="00DC6881" w:rsidRDefault="00BD40BD" w:rsidP="00BD4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auto"/>
            <w:hideMark/>
          </w:tcPr>
          <w:p w:rsidR="00BD40BD" w:rsidRPr="0026221E" w:rsidRDefault="002F5DBE" w:rsidP="00BD40BD">
            <w:r w:rsidRPr="002F5DBE">
              <w:t>Земли сельскохозяйственного назначения (Сельскохозяйственное использование) Земельный участок к/н 58:13:0000000:112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BD40BD" w:rsidRDefault="00C04AD1" w:rsidP="00BD40BD">
            <w:pPr>
              <w:jc w:val="center"/>
            </w:pPr>
            <w:r>
              <w:t>1.72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212"/>
        <w:tblW w:w="4641" w:type="dxa"/>
        <w:tblLook w:val="04A0" w:firstRow="1" w:lastRow="0" w:firstColumn="1" w:lastColumn="0" w:noHBand="0" w:noVBand="1"/>
      </w:tblPr>
      <w:tblGrid>
        <w:gridCol w:w="1645"/>
        <w:gridCol w:w="1649"/>
        <w:gridCol w:w="1347"/>
      </w:tblGrid>
      <w:tr w:rsidR="006902F3" w:rsidRPr="00DC6881" w:rsidTr="006902F3">
        <w:trPr>
          <w:trHeight w:val="269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за период, %</w:t>
            </w:r>
          </w:p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Отклонение доходности от инфляции</w:t>
            </w:r>
          </w:p>
        </w:tc>
      </w:tr>
      <w:tr w:rsidR="006902F3" w:rsidRPr="00DC6881" w:rsidTr="0015413A">
        <w:trPr>
          <w:trHeight w:val="52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%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D1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AD1" w:rsidRPr="006902F3" w:rsidRDefault="00C04AD1" w:rsidP="00C0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4AD1" w:rsidRPr="0011554C" w:rsidRDefault="00C04AD1" w:rsidP="00C04AD1">
            <w:pPr>
              <w:jc w:val="center"/>
            </w:pPr>
            <w:r w:rsidRPr="0011554C">
              <w:t>0,16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AD1" w:rsidRPr="003F7C72" w:rsidRDefault="00C04AD1" w:rsidP="00C04AD1">
            <w:pPr>
              <w:jc w:val="center"/>
            </w:pPr>
            <w:r w:rsidRPr="003F7C72">
              <w:t>-0,48</w:t>
            </w:r>
          </w:p>
        </w:tc>
      </w:tr>
      <w:tr w:rsidR="00C04AD1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AD1" w:rsidRPr="006902F3" w:rsidRDefault="00C04AD1" w:rsidP="00C0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4AD1" w:rsidRPr="0011554C" w:rsidRDefault="00C04AD1" w:rsidP="00C04AD1">
            <w:pPr>
              <w:jc w:val="center"/>
            </w:pPr>
            <w:r w:rsidRPr="0011554C">
              <w:t>4,12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AD1" w:rsidRPr="003F7C72" w:rsidRDefault="00C04AD1" w:rsidP="00C04AD1">
            <w:pPr>
              <w:jc w:val="center"/>
            </w:pPr>
            <w:r w:rsidRPr="003F7C72">
              <w:t>2,09</w:t>
            </w:r>
          </w:p>
        </w:tc>
      </w:tr>
      <w:tr w:rsidR="00C04AD1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AD1" w:rsidRPr="006902F3" w:rsidRDefault="00C04AD1" w:rsidP="00C0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4AD1" w:rsidRPr="0011554C" w:rsidRDefault="00C04AD1" w:rsidP="00C04AD1">
            <w:pPr>
              <w:jc w:val="center"/>
            </w:pPr>
            <w:r w:rsidRPr="0011554C">
              <w:t>23,57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AD1" w:rsidRPr="003F7C72" w:rsidRDefault="00C04AD1" w:rsidP="00C04AD1">
            <w:pPr>
              <w:jc w:val="center"/>
            </w:pPr>
            <w:r w:rsidRPr="003F7C72">
              <w:t>19,93</w:t>
            </w:r>
          </w:p>
        </w:tc>
      </w:tr>
      <w:tr w:rsidR="00C04AD1" w:rsidRPr="00DC6881" w:rsidTr="006C0629">
        <w:trPr>
          <w:trHeight w:val="363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AD1" w:rsidRPr="006902F3" w:rsidRDefault="00C04AD1" w:rsidP="00C0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4AD1" w:rsidRPr="0011554C" w:rsidRDefault="00C04AD1" w:rsidP="00C04AD1">
            <w:pPr>
              <w:jc w:val="center"/>
            </w:pPr>
            <w:r w:rsidRPr="0011554C">
              <w:t>43,50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AD1" w:rsidRPr="003F7C72" w:rsidRDefault="00C04AD1" w:rsidP="00C04AD1">
            <w:pPr>
              <w:jc w:val="center"/>
            </w:pPr>
            <w:r w:rsidRPr="003F7C72">
              <w:t>34,91</w:t>
            </w:r>
          </w:p>
        </w:tc>
      </w:tr>
      <w:tr w:rsidR="00C04AD1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AD1" w:rsidRPr="006902F3" w:rsidRDefault="00C04AD1" w:rsidP="00C0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4AD1" w:rsidRPr="0011554C" w:rsidRDefault="00C04AD1" w:rsidP="00C04AD1">
            <w:pPr>
              <w:jc w:val="center"/>
            </w:pPr>
            <w:r w:rsidRPr="0011554C">
              <w:t>221,59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AD1" w:rsidRPr="003F7C72" w:rsidRDefault="00C04AD1" w:rsidP="00C04AD1">
            <w:pPr>
              <w:jc w:val="center"/>
            </w:pPr>
            <w:r w:rsidRPr="003F7C72">
              <w:t>191,25</w:t>
            </w:r>
          </w:p>
        </w:tc>
      </w:tr>
      <w:tr w:rsidR="00C04AD1" w:rsidRPr="00DC6881" w:rsidTr="0015413A">
        <w:trPr>
          <w:trHeight w:val="19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AD1" w:rsidRPr="006902F3" w:rsidRDefault="00C04AD1" w:rsidP="00C0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4AD1" w:rsidRDefault="00C04AD1" w:rsidP="00C04AD1">
            <w:pPr>
              <w:jc w:val="center"/>
            </w:pPr>
            <w:r w:rsidRPr="0011554C">
              <w:t>260,68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AD1" w:rsidRDefault="00C04AD1" w:rsidP="00C04AD1">
            <w:pPr>
              <w:jc w:val="center"/>
            </w:pPr>
            <w:r w:rsidRPr="003F7C72">
              <w:t>217,24</w:t>
            </w:r>
          </w:p>
        </w:tc>
      </w:tr>
    </w:tbl>
    <w:p w:rsidR="00EE1DF8" w:rsidRPr="00DC6881" w:rsidRDefault="006902F3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</w:t>
      </w:r>
      <w:r w:rsidR="005D6F19"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E21AD6">
        <w:rPr>
          <w:noProof/>
          <w:lang w:eastAsia="ru-RU"/>
        </w:rPr>
        <w:drawing>
          <wp:inline distT="0" distB="0" distL="0" distR="0" wp14:anchorId="145EFC87" wp14:editId="1A7210DE">
            <wp:extent cx="2695575" cy="22002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C04AD1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C04AD1" w:rsidRPr="00C04AD1">
        <w:rPr>
          <w:rFonts w:ascii="Times New Roman" w:hAnsi="Times New Roman" w:cs="Times New Roman"/>
        </w:rPr>
        <w:t>3</w:t>
      </w:r>
      <w:r w:rsidR="00C04AD1">
        <w:rPr>
          <w:rFonts w:ascii="Times New Roman" w:hAnsi="Times New Roman" w:cs="Times New Roman"/>
        </w:rPr>
        <w:t> </w:t>
      </w:r>
      <w:r w:rsidR="00C04AD1" w:rsidRPr="00C04AD1">
        <w:rPr>
          <w:rFonts w:ascii="Times New Roman" w:hAnsi="Times New Roman" w:cs="Times New Roman"/>
        </w:rPr>
        <w:t>624</w:t>
      </w:r>
      <w:r w:rsidR="00C04AD1">
        <w:rPr>
          <w:rFonts w:ascii="Times New Roman" w:hAnsi="Times New Roman" w:cs="Times New Roman"/>
        </w:rPr>
        <w:t> </w:t>
      </w:r>
      <w:r w:rsidR="00C04AD1" w:rsidRPr="00C04AD1">
        <w:rPr>
          <w:rFonts w:ascii="Times New Roman" w:hAnsi="Times New Roman" w:cs="Times New Roman"/>
        </w:rPr>
        <w:t>488</w:t>
      </w:r>
      <w:r w:rsidR="00C04AD1">
        <w:rPr>
          <w:rFonts w:ascii="Times New Roman" w:hAnsi="Times New Roman" w:cs="Times New Roman"/>
        </w:rPr>
        <w:t xml:space="preserve"> </w:t>
      </w:r>
      <w:r w:rsidR="00C04AD1" w:rsidRPr="00C04AD1">
        <w:rPr>
          <w:rFonts w:ascii="Times New Roman" w:hAnsi="Times New Roman" w:cs="Times New Roman"/>
        </w:rPr>
        <w:t>622,86</w:t>
      </w:r>
      <w:r w:rsidR="00DD745A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DA6FA7">
        <w:rPr>
          <w:rFonts w:ascii="Times New Roman" w:hAnsi="Times New Roman" w:cs="Times New Roman"/>
        </w:rPr>
        <w:t>руб</w:t>
      </w:r>
      <w:r w:rsidRPr="00DC6881">
        <w:rPr>
          <w:rFonts w:ascii="Times New Roman" w:hAnsi="Times New Roman" w:cs="Times New Roman"/>
        </w:rPr>
        <w:t>.</w:t>
      </w:r>
    </w:p>
    <w:p w:rsidR="008E283C" w:rsidRDefault="00B231C8" w:rsidP="00BD40BD">
      <w:pPr>
        <w:pStyle w:val="a5"/>
        <w:numPr>
          <w:ilvl w:val="0"/>
          <w:numId w:val="3"/>
        </w:numPr>
        <w:spacing w:after="0"/>
        <w:ind w:left="709" w:hanging="425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BD40BD" w:rsidRPr="00BD40BD">
        <w:rPr>
          <w:rFonts w:ascii="Times New Roman" w:hAnsi="Times New Roman" w:cs="Times New Roman"/>
        </w:rPr>
        <w:t>98,</w:t>
      </w:r>
      <w:r w:rsidR="00C04AD1">
        <w:rPr>
          <w:rFonts w:ascii="Times New Roman" w:hAnsi="Times New Roman" w:cs="Times New Roman"/>
        </w:rPr>
        <w:t>93</w:t>
      </w:r>
      <w:r w:rsidR="00BD40BD">
        <w:rPr>
          <w:rFonts w:ascii="Times New Roman" w:hAnsi="Times New Roman" w:cs="Times New Roman"/>
        </w:rPr>
        <w:t xml:space="preserve"> </w:t>
      </w:r>
      <w:r w:rsidRPr="00394780">
        <w:rPr>
          <w:rFonts w:ascii="Times New Roman" w:hAnsi="Times New Roman" w:cs="Times New Roman"/>
        </w:rPr>
        <w:t>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BD40BD">
      <w:pPr>
        <w:pStyle w:val="a5"/>
        <w:numPr>
          <w:ilvl w:val="0"/>
          <w:numId w:val="3"/>
        </w:numPr>
        <w:spacing w:after="0"/>
        <w:ind w:left="709" w:hanging="425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</w:t>
      </w:r>
      <w:r w:rsidRPr="00170956">
        <w:rPr>
          <w:rFonts w:ascii="Times New Roman" w:hAnsi="Times New Roman" w:cs="Times New Roman"/>
        </w:rPr>
        <w:lastRenderedPageBreak/>
        <w:t>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принимает нулевое или отрицательное значение, то доход по инвестиционному паю фонда на 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987EFD" w:rsidRPr="00987EFD" w:rsidRDefault="00FF3F73" w:rsidP="00BD40B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  <w:jc w:val="both"/>
      </w:pPr>
      <w:r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  <w:r w:rsidR="001E149D" w:rsidRPr="001E149D">
        <w:rPr>
          <w:rFonts w:ascii="Times New Roman" w:hAnsi="Times New Roman" w:cs="Times New Roman"/>
        </w:rPr>
        <w:t xml:space="preserve"> </w:t>
      </w:r>
    </w:p>
    <w:p w:rsidR="00987EFD" w:rsidRPr="00987EFD" w:rsidRDefault="001E149D" w:rsidP="00BD40B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  <w:jc w:val="both"/>
      </w:pPr>
      <w:r w:rsidRPr="00987EFD"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</w:t>
      </w:r>
      <w:r w:rsidR="00987EFD" w:rsidRPr="00987EFD">
        <w:rPr>
          <w:rFonts w:ascii="Times New Roman" w:hAnsi="Times New Roman" w:cs="Times New Roman"/>
        </w:rPr>
        <w:t xml:space="preserve"> </w:t>
      </w:r>
    </w:p>
    <w:p w:rsidR="00987EFD" w:rsidRPr="00987EFD" w:rsidRDefault="00987EF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987EFD" w:rsidRPr="001E1864" w:rsidRDefault="00987EFD" w:rsidP="00987EFD">
      <w:pPr>
        <w:pBdr>
          <w:bottom w:val="single" w:sz="12" w:space="1" w:color="auto"/>
        </w:pBdr>
        <w:spacing w:after="0"/>
      </w:pP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0804ED">
      <w:pPr>
        <w:pStyle w:val="a5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Управляющая компания ООО «УК «Навигатор», лицензи</w:t>
      </w:r>
      <w:r w:rsidR="00D052DF">
        <w:rPr>
          <w:rFonts w:ascii="Times New Roman" w:hAnsi="Times New Roman" w:cs="Times New Roman"/>
        </w:rPr>
        <w:t>я №</w:t>
      </w:r>
      <w:r w:rsidRPr="00DC6881">
        <w:rPr>
          <w:rFonts w:ascii="Times New Roman" w:hAnsi="Times New Roman" w:cs="Times New Roman"/>
        </w:rPr>
        <w:t>21-000-1-00102</w:t>
      </w:r>
      <w:r w:rsidR="00D052DF" w:rsidRPr="00D052DF">
        <w:rPr>
          <w:rFonts w:ascii="Times New Roman" w:hAnsi="Times New Roman" w:cs="Times New Roman"/>
        </w:rPr>
        <w:t xml:space="preserve"> </w:t>
      </w:r>
      <w:r w:rsidR="00D052DF">
        <w:rPr>
          <w:rFonts w:ascii="Times New Roman" w:hAnsi="Times New Roman" w:cs="Times New Roman"/>
        </w:rPr>
        <w:t xml:space="preserve">от </w:t>
      </w:r>
      <w:r w:rsidR="00D052DF" w:rsidRPr="00D052DF">
        <w:rPr>
          <w:rFonts w:ascii="Times New Roman" w:hAnsi="Times New Roman" w:cs="Times New Roman"/>
        </w:rPr>
        <w:t>24.12.2002</w:t>
      </w:r>
      <w:r w:rsidRPr="00DC6881">
        <w:rPr>
          <w:rFonts w:ascii="Times New Roman" w:hAnsi="Times New Roman" w:cs="Times New Roman"/>
        </w:rPr>
        <w:t xml:space="preserve">, сайт www.am-navigator.ru, телефон 8 (495) 213 18 37, адрес </w:t>
      </w:r>
      <w:r w:rsidR="000804ED" w:rsidRPr="000804ED">
        <w:rPr>
          <w:rFonts w:ascii="Times New Roman" w:hAnsi="Times New Roman" w:cs="Times New Roman"/>
        </w:rPr>
        <w:t xml:space="preserve">115114, </w:t>
      </w:r>
      <w:proofErr w:type="spellStart"/>
      <w:r w:rsidR="000804ED" w:rsidRPr="000804ED">
        <w:rPr>
          <w:rFonts w:ascii="Times New Roman" w:hAnsi="Times New Roman" w:cs="Times New Roman"/>
        </w:rPr>
        <w:t>г.Москва</w:t>
      </w:r>
      <w:proofErr w:type="spellEnd"/>
      <w:r w:rsidR="000804ED" w:rsidRPr="000804ED">
        <w:rPr>
          <w:rFonts w:ascii="Times New Roman" w:hAnsi="Times New Roman" w:cs="Times New Roman"/>
        </w:rPr>
        <w:t xml:space="preserve">, </w:t>
      </w:r>
      <w:proofErr w:type="spellStart"/>
      <w:r w:rsidR="000804ED" w:rsidRPr="000804ED">
        <w:rPr>
          <w:rFonts w:ascii="Times New Roman" w:hAnsi="Times New Roman" w:cs="Times New Roman"/>
        </w:rPr>
        <w:t>вн.тер.г</w:t>
      </w:r>
      <w:proofErr w:type="spellEnd"/>
      <w:r w:rsidR="000804ED" w:rsidRPr="000804ED">
        <w:rPr>
          <w:rFonts w:ascii="Times New Roman" w:hAnsi="Times New Roman" w:cs="Times New Roman"/>
        </w:rPr>
        <w:t xml:space="preserve">. муниципальный округ </w:t>
      </w:r>
      <w:proofErr w:type="spellStart"/>
      <w:r w:rsidR="000804ED" w:rsidRPr="000804ED">
        <w:rPr>
          <w:rFonts w:ascii="Times New Roman" w:hAnsi="Times New Roman" w:cs="Times New Roman"/>
        </w:rPr>
        <w:t>Даниловский</w:t>
      </w:r>
      <w:proofErr w:type="spellEnd"/>
      <w:r w:rsidR="000804ED" w:rsidRPr="000804ED">
        <w:rPr>
          <w:rFonts w:ascii="Times New Roman" w:hAnsi="Times New Roman" w:cs="Times New Roman"/>
        </w:rPr>
        <w:t xml:space="preserve">, ул. </w:t>
      </w:r>
      <w:proofErr w:type="spellStart"/>
      <w:r w:rsidR="000804ED" w:rsidRPr="000804ED">
        <w:rPr>
          <w:rFonts w:ascii="Times New Roman" w:hAnsi="Times New Roman" w:cs="Times New Roman"/>
        </w:rPr>
        <w:t>Кожевническая</w:t>
      </w:r>
      <w:proofErr w:type="spellEnd"/>
      <w:r w:rsidR="000804ED" w:rsidRPr="000804ED">
        <w:rPr>
          <w:rFonts w:ascii="Times New Roman" w:hAnsi="Times New Roman" w:cs="Times New Roman"/>
        </w:rPr>
        <w:t>, д. 14,</w:t>
      </w:r>
      <w:r w:rsidR="002D21E3">
        <w:rPr>
          <w:rFonts w:ascii="Times New Roman" w:hAnsi="Times New Roman" w:cs="Times New Roman"/>
        </w:rPr>
        <w:t xml:space="preserve"> </w:t>
      </w:r>
      <w:r w:rsidR="000804ED" w:rsidRPr="000804ED">
        <w:rPr>
          <w:rFonts w:ascii="Times New Roman" w:hAnsi="Times New Roman" w:cs="Times New Roman"/>
        </w:rPr>
        <w:t>стр. 5</w:t>
      </w:r>
      <w:r w:rsidRPr="00DC6881">
        <w:rPr>
          <w:rFonts w:ascii="Times New Roman" w:hAnsi="Times New Roman" w:cs="Times New Roman"/>
        </w:rPr>
        <w:t>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670D"/>
    <w:rsid w:val="00007303"/>
    <w:rsid w:val="00017CF0"/>
    <w:rsid w:val="00021F05"/>
    <w:rsid w:val="0002200E"/>
    <w:rsid w:val="000255A7"/>
    <w:rsid w:val="00027B50"/>
    <w:rsid w:val="00034F71"/>
    <w:rsid w:val="000472AD"/>
    <w:rsid w:val="00071F9D"/>
    <w:rsid w:val="00074F24"/>
    <w:rsid w:val="000804ED"/>
    <w:rsid w:val="000914C1"/>
    <w:rsid w:val="000955F6"/>
    <w:rsid w:val="000A23F4"/>
    <w:rsid w:val="000A4714"/>
    <w:rsid w:val="000B5B8D"/>
    <w:rsid w:val="000D74FD"/>
    <w:rsid w:val="000E50D6"/>
    <w:rsid w:val="000F14CB"/>
    <w:rsid w:val="001033D3"/>
    <w:rsid w:val="00115A5E"/>
    <w:rsid w:val="00120040"/>
    <w:rsid w:val="00126C50"/>
    <w:rsid w:val="0013623C"/>
    <w:rsid w:val="001463C5"/>
    <w:rsid w:val="0015413A"/>
    <w:rsid w:val="0016060C"/>
    <w:rsid w:val="00170956"/>
    <w:rsid w:val="00171E15"/>
    <w:rsid w:val="00182E71"/>
    <w:rsid w:val="00183BFE"/>
    <w:rsid w:val="00186818"/>
    <w:rsid w:val="00195C1D"/>
    <w:rsid w:val="001A09C3"/>
    <w:rsid w:val="001A676B"/>
    <w:rsid w:val="001B72AB"/>
    <w:rsid w:val="001C5D10"/>
    <w:rsid w:val="001C66AE"/>
    <w:rsid w:val="001D0CEA"/>
    <w:rsid w:val="001D7826"/>
    <w:rsid w:val="001E149D"/>
    <w:rsid w:val="001E1864"/>
    <w:rsid w:val="001E5789"/>
    <w:rsid w:val="001F7ADA"/>
    <w:rsid w:val="0020129A"/>
    <w:rsid w:val="00203BAC"/>
    <w:rsid w:val="002050C2"/>
    <w:rsid w:val="00206B90"/>
    <w:rsid w:val="00220EF8"/>
    <w:rsid w:val="0023625B"/>
    <w:rsid w:val="00254E09"/>
    <w:rsid w:val="00262C5E"/>
    <w:rsid w:val="002924B7"/>
    <w:rsid w:val="00294C5F"/>
    <w:rsid w:val="002A677F"/>
    <w:rsid w:val="002B1D15"/>
    <w:rsid w:val="002C3517"/>
    <w:rsid w:val="002D21DE"/>
    <w:rsid w:val="002D21E3"/>
    <w:rsid w:val="002E39BE"/>
    <w:rsid w:val="002E5046"/>
    <w:rsid w:val="002E586B"/>
    <w:rsid w:val="002F5DBE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4780"/>
    <w:rsid w:val="003961FD"/>
    <w:rsid w:val="003A2EDF"/>
    <w:rsid w:val="003A48A9"/>
    <w:rsid w:val="003C3323"/>
    <w:rsid w:val="003D1213"/>
    <w:rsid w:val="003D6EB9"/>
    <w:rsid w:val="003E5C30"/>
    <w:rsid w:val="003F11DC"/>
    <w:rsid w:val="003F34CE"/>
    <w:rsid w:val="00407395"/>
    <w:rsid w:val="00421F1D"/>
    <w:rsid w:val="004333E1"/>
    <w:rsid w:val="00443490"/>
    <w:rsid w:val="004514DE"/>
    <w:rsid w:val="00466BBE"/>
    <w:rsid w:val="00484A2D"/>
    <w:rsid w:val="00494D88"/>
    <w:rsid w:val="004A085D"/>
    <w:rsid w:val="004A0ABA"/>
    <w:rsid w:val="004A5F5B"/>
    <w:rsid w:val="004A7617"/>
    <w:rsid w:val="004B44F6"/>
    <w:rsid w:val="004B5AD6"/>
    <w:rsid w:val="004B7D7E"/>
    <w:rsid w:val="004C1A7F"/>
    <w:rsid w:val="004C5FA7"/>
    <w:rsid w:val="004F3131"/>
    <w:rsid w:val="00533C37"/>
    <w:rsid w:val="00534D32"/>
    <w:rsid w:val="00542670"/>
    <w:rsid w:val="00542E1A"/>
    <w:rsid w:val="00550141"/>
    <w:rsid w:val="005538D9"/>
    <w:rsid w:val="005654E7"/>
    <w:rsid w:val="00572DEF"/>
    <w:rsid w:val="00573776"/>
    <w:rsid w:val="00585129"/>
    <w:rsid w:val="00594181"/>
    <w:rsid w:val="005944D7"/>
    <w:rsid w:val="005C3BCB"/>
    <w:rsid w:val="005C6DC9"/>
    <w:rsid w:val="005D6F19"/>
    <w:rsid w:val="005E1B0D"/>
    <w:rsid w:val="005E72DE"/>
    <w:rsid w:val="005F0E83"/>
    <w:rsid w:val="005F73AF"/>
    <w:rsid w:val="00610A2A"/>
    <w:rsid w:val="0061370A"/>
    <w:rsid w:val="00614F47"/>
    <w:rsid w:val="00632B86"/>
    <w:rsid w:val="00642760"/>
    <w:rsid w:val="00646AE3"/>
    <w:rsid w:val="00650792"/>
    <w:rsid w:val="00663E1B"/>
    <w:rsid w:val="006902F3"/>
    <w:rsid w:val="006B283F"/>
    <w:rsid w:val="006B5610"/>
    <w:rsid w:val="006D5783"/>
    <w:rsid w:val="006F1AF9"/>
    <w:rsid w:val="006F40A0"/>
    <w:rsid w:val="007152A1"/>
    <w:rsid w:val="00721FBD"/>
    <w:rsid w:val="00734072"/>
    <w:rsid w:val="00745961"/>
    <w:rsid w:val="00746CDF"/>
    <w:rsid w:val="00764450"/>
    <w:rsid w:val="007707BF"/>
    <w:rsid w:val="007855CF"/>
    <w:rsid w:val="0078602B"/>
    <w:rsid w:val="00786E38"/>
    <w:rsid w:val="007A1150"/>
    <w:rsid w:val="007A4639"/>
    <w:rsid w:val="007C1A75"/>
    <w:rsid w:val="007C5A11"/>
    <w:rsid w:val="007E3BC6"/>
    <w:rsid w:val="007F5783"/>
    <w:rsid w:val="007F7E09"/>
    <w:rsid w:val="00801648"/>
    <w:rsid w:val="00803846"/>
    <w:rsid w:val="00816A31"/>
    <w:rsid w:val="008219D1"/>
    <w:rsid w:val="00821E81"/>
    <w:rsid w:val="00823043"/>
    <w:rsid w:val="00832DA0"/>
    <w:rsid w:val="0083335B"/>
    <w:rsid w:val="0083427C"/>
    <w:rsid w:val="00860AED"/>
    <w:rsid w:val="008654B8"/>
    <w:rsid w:val="008800E7"/>
    <w:rsid w:val="00882138"/>
    <w:rsid w:val="008876AF"/>
    <w:rsid w:val="008B2941"/>
    <w:rsid w:val="008C2DB4"/>
    <w:rsid w:val="008E283C"/>
    <w:rsid w:val="008E77F9"/>
    <w:rsid w:val="008F6F31"/>
    <w:rsid w:val="009144A8"/>
    <w:rsid w:val="00922E2E"/>
    <w:rsid w:val="009257B9"/>
    <w:rsid w:val="00925DE2"/>
    <w:rsid w:val="009332BF"/>
    <w:rsid w:val="009374E5"/>
    <w:rsid w:val="00947B57"/>
    <w:rsid w:val="0096446D"/>
    <w:rsid w:val="00980DC9"/>
    <w:rsid w:val="00987EFD"/>
    <w:rsid w:val="009938F3"/>
    <w:rsid w:val="009A715C"/>
    <w:rsid w:val="009B237B"/>
    <w:rsid w:val="009B489A"/>
    <w:rsid w:val="009B4EE8"/>
    <w:rsid w:val="009E2061"/>
    <w:rsid w:val="00A03E95"/>
    <w:rsid w:val="00A0530A"/>
    <w:rsid w:val="00A05C24"/>
    <w:rsid w:val="00A163AF"/>
    <w:rsid w:val="00A30998"/>
    <w:rsid w:val="00A324BB"/>
    <w:rsid w:val="00A34510"/>
    <w:rsid w:val="00A373E8"/>
    <w:rsid w:val="00A40CA1"/>
    <w:rsid w:val="00A443D5"/>
    <w:rsid w:val="00A52F9A"/>
    <w:rsid w:val="00A64F9C"/>
    <w:rsid w:val="00A6551F"/>
    <w:rsid w:val="00A74CE5"/>
    <w:rsid w:val="00A8071B"/>
    <w:rsid w:val="00A9024D"/>
    <w:rsid w:val="00AA0E46"/>
    <w:rsid w:val="00AA56D2"/>
    <w:rsid w:val="00AB0D9B"/>
    <w:rsid w:val="00AB3535"/>
    <w:rsid w:val="00AD3C27"/>
    <w:rsid w:val="00AE026A"/>
    <w:rsid w:val="00AF00F2"/>
    <w:rsid w:val="00B02CC0"/>
    <w:rsid w:val="00B02D4D"/>
    <w:rsid w:val="00B053A3"/>
    <w:rsid w:val="00B16085"/>
    <w:rsid w:val="00B231C8"/>
    <w:rsid w:val="00B36C1C"/>
    <w:rsid w:val="00B40149"/>
    <w:rsid w:val="00B51193"/>
    <w:rsid w:val="00B606BD"/>
    <w:rsid w:val="00B632AD"/>
    <w:rsid w:val="00B87AC9"/>
    <w:rsid w:val="00B934D6"/>
    <w:rsid w:val="00B96D09"/>
    <w:rsid w:val="00BA101A"/>
    <w:rsid w:val="00BB4C7E"/>
    <w:rsid w:val="00BB64EE"/>
    <w:rsid w:val="00BB7D74"/>
    <w:rsid w:val="00BC13DB"/>
    <w:rsid w:val="00BC2931"/>
    <w:rsid w:val="00BC4B63"/>
    <w:rsid w:val="00BD07E2"/>
    <w:rsid w:val="00BD40BD"/>
    <w:rsid w:val="00BE63FF"/>
    <w:rsid w:val="00BF20B1"/>
    <w:rsid w:val="00BF6C4E"/>
    <w:rsid w:val="00C04AD1"/>
    <w:rsid w:val="00C148E6"/>
    <w:rsid w:val="00C25B69"/>
    <w:rsid w:val="00C27C00"/>
    <w:rsid w:val="00C3769F"/>
    <w:rsid w:val="00C40BD9"/>
    <w:rsid w:val="00C43C25"/>
    <w:rsid w:val="00C4411D"/>
    <w:rsid w:val="00C45E2F"/>
    <w:rsid w:val="00C4737C"/>
    <w:rsid w:val="00C51309"/>
    <w:rsid w:val="00C64B23"/>
    <w:rsid w:val="00C679D8"/>
    <w:rsid w:val="00C76F2E"/>
    <w:rsid w:val="00C82109"/>
    <w:rsid w:val="00C9036F"/>
    <w:rsid w:val="00C93C36"/>
    <w:rsid w:val="00C94C8C"/>
    <w:rsid w:val="00CB1C0D"/>
    <w:rsid w:val="00CB45E1"/>
    <w:rsid w:val="00CB5244"/>
    <w:rsid w:val="00CC3D57"/>
    <w:rsid w:val="00CF32AE"/>
    <w:rsid w:val="00D00F20"/>
    <w:rsid w:val="00D052DF"/>
    <w:rsid w:val="00D07C61"/>
    <w:rsid w:val="00D11B91"/>
    <w:rsid w:val="00D440FE"/>
    <w:rsid w:val="00D52BE5"/>
    <w:rsid w:val="00D5324A"/>
    <w:rsid w:val="00D63B42"/>
    <w:rsid w:val="00D86BE8"/>
    <w:rsid w:val="00DA6FA7"/>
    <w:rsid w:val="00DB4167"/>
    <w:rsid w:val="00DC155C"/>
    <w:rsid w:val="00DC6881"/>
    <w:rsid w:val="00DD08D1"/>
    <w:rsid w:val="00DD0F8F"/>
    <w:rsid w:val="00DD745A"/>
    <w:rsid w:val="00DF55E6"/>
    <w:rsid w:val="00DF650D"/>
    <w:rsid w:val="00E00364"/>
    <w:rsid w:val="00E07B06"/>
    <w:rsid w:val="00E149DD"/>
    <w:rsid w:val="00E16367"/>
    <w:rsid w:val="00E174F3"/>
    <w:rsid w:val="00E17967"/>
    <w:rsid w:val="00E21AD6"/>
    <w:rsid w:val="00E30CA8"/>
    <w:rsid w:val="00E41F97"/>
    <w:rsid w:val="00E54F20"/>
    <w:rsid w:val="00E55279"/>
    <w:rsid w:val="00E61D6B"/>
    <w:rsid w:val="00E83723"/>
    <w:rsid w:val="00EA3FD4"/>
    <w:rsid w:val="00EB4D7A"/>
    <w:rsid w:val="00EB6DF9"/>
    <w:rsid w:val="00ED43FB"/>
    <w:rsid w:val="00EE1DF8"/>
    <w:rsid w:val="00EE489C"/>
    <w:rsid w:val="00F0194C"/>
    <w:rsid w:val="00F03B7C"/>
    <w:rsid w:val="00F10215"/>
    <w:rsid w:val="00F179B8"/>
    <w:rsid w:val="00F26C51"/>
    <w:rsid w:val="00F36B6C"/>
    <w:rsid w:val="00F45E3F"/>
    <w:rsid w:val="00F54BC1"/>
    <w:rsid w:val="00F54BD3"/>
    <w:rsid w:val="00F62267"/>
    <w:rsid w:val="00F65E19"/>
    <w:rsid w:val="00F717F6"/>
    <w:rsid w:val="00F84AF4"/>
    <w:rsid w:val="00F85820"/>
    <w:rsid w:val="00F92B3F"/>
    <w:rsid w:val="00F940CD"/>
    <w:rsid w:val="00F94747"/>
    <w:rsid w:val="00FA12C1"/>
    <w:rsid w:val="00FA4A86"/>
    <w:rsid w:val="00FA5F5A"/>
    <w:rsid w:val="00FB126B"/>
    <w:rsid w:val="00FB50E8"/>
    <w:rsid w:val="00FC217C"/>
    <w:rsid w:val="00FC6495"/>
    <w:rsid w:val="00FC6CC2"/>
    <w:rsid w:val="00FD2325"/>
    <w:rsid w:val="00FE69F6"/>
    <w:rsid w:val="00FF0E60"/>
    <w:rsid w:val="00FF3F73"/>
    <w:rsid w:val="00FF4A37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kif-fs.uk.lan\storage$\groups\&#1050;&#1086;&#1085;&#1090;&#1088;&#1086;&#1083;&#1100;\&#1053;&#1042;&#1043;\&#1050;&#1048;&#1044;\&#1050;&#1048;&#1044;&#1099;\2024.01.31\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1.01.2024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0" i="0" baseline="0">
                <a:effectLst/>
              </a:rPr>
              <a:t>Доходность за календарный год, %</a:t>
            </a:r>
            <a:endParaRPr lang="ru-RU" sz="10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5.5555555555555558E-3"/>
                  <c:y val="-4.8411172380800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%'!$A$23:$A$27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'Доходность за календарный год %'!$B$23:$B$27</c:f>
              <c:numCache>
                <c:formatCode>#,##0.00</c:formatCode>
                <c:ptCount val="5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  <c:pt idx="3">
                  <c:v>143.19</c:v>
                </c:pt>
                <c:pt idx="4">
                  <c:v>23.71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5165184"/>
        <c:axId val="475163616"/>
      </c:barChart>
      <c:catAx>
        <c:axId val="475165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5163616"/>
        <c:crosses val="autoZero"/>
        <c:auto val="1"/>
        <c:lblAlgn val="ctr"/>
        <c:lblOffset val="100"/>
        <c:noMultiLvlLbl val="0"/>
      </c:catAx>
      <c:valAx>
        <c:axId val="475163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5165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4A1E3-D860-43C2-B866-72BFFC45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Попов Дмитрий Вячеславович</cp:lastModifiedBy>
  <cp:revision>4</cp:revision>
  <dcterms:created xsi:type="dcterms:W3CDTF">2024-08-06T12:51:00Z</dcterms:created>
  <dcterms:modified xsi:type="dcterms:W3CDTF">2024-08-06T13:56:00Z</dcterms:modified>
</cp:coreProperties>
</file>